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6C5D">
        <w:rPr>
          <w:rFonts w:ascii="Times New Roman" w:eastAsia="Times New Roman" w:hAnsi="Times New Roman" w:cs="Times New Roman"/>
          <w:b/>
          <w:sz w:val="28"/>
        </w:rPr>
        <w:t>1</w:t>
      </w:r>
      <w:r w:rsidR="00467E65">
        <w:rPr>
          <w:rFonts w:ascii="Times New Roman" w:eastAsia="Times New Roman" w:hAnsi="Times New Roman" w:cs="Times New Roman"/>
          <w:b/>
          <w:sz w:val="28"/>
        </w:rPr>
        <w:t>18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</w:t>
      </w:r>
      <w:r w:rsidR="00467E65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E06C5D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467E6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</w:t>
      </w:r>
      <w:proofErr w:type="spellStart"/>
      <w:r w:rsidR="00467E65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467E65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467E65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именуемая в дальнейшем «Администрация муниципального района», с одной стороны, и Администрации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 w:rsidR="00F3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</w:t>
      </w:r>
      <w:r w:rsidR="00F37E94" w:rsidRPr="00F3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E65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="00467E65">
        <w:rPr>
          <w:rFonts w:ascii="Times New Roman" w:hAnsi="Times New Roman" w:cs="Times New Roman"/>
          <w:sz w:val="28"/>
          <w:szCs w:val="28"/>
        </w:rPr>
        <w:t xml:space="preserve"> Олега Сергеевича</w:t>
      </w:r>
      <w:r w:rsidR="00F37E94">
        <w:rPr>
          <w:rFonts w:ascii="Times New Roman" w:eastAsia="Times New Roman" w:hAnsi="Times New Roman" w:cs="Times New Roman"/>
          <w:sz w:val="28"/>
        </w:rPr>
        <w:t>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от </w:t>
      </w:r>
      <w:r w:rsidR="00F37E94">
        <w:rPr>
          <w:rFonts w:ascii="Times New Roman" w:eastAsia="Times New Roman" w:hAnsi="Times New Roman" w:cs="Times New Roman"/>
          <w:sz w:val="28"/>
        </w:rPr>
        <w:t>1</w:t>
      </w:r>
      <w:r w:rsidR="00467E65">
        <w:rPr>
          <w:rFonts w:ascii="Times New Roman" w:eastAsia="Times New Roman" w:hAnsi="Times New Roman" w:cs="Times New Roman"/>
          <w:sz w:val="28"/>
        </w:rPr>
        <w:t>7</w:t>
      </w:r>
      <w:r w:rsidR="00F37E94">
        <w:rPr>
          <w:rFonts w:ascii="Times New Roman" w:eastAsia="Times New Roman" w:hAnsi="Times New Roman" w:cs="Times New Roman"/>
          <w:sz w:val="28"/>
        </w:rPr>
        <w:t xml:space="preserve"> декабря </w:t>
      </w:r>
      <w:r w:rsidRPr="00E77600">
        <w:rPr>
          <w:rFonts w:ascii="Times New Roman" w:eastAsia="Times New Roman" w:hAnsi="Times New Roman" w:cs="Times New Roman"/>
          <w:sz w:val="28"/>
        </w:rPr>
        <w:t>201</w:t>
      </w:r>
      <w:r w:rsidR="00467E65">
        <w:rPr>
          <w:rFonts w:ascii="Times New Roman" w:eastAsia="Times New Roman" w:hAnsi="Times New Roman" w:cs="Times New Roman"/>
          <w:sz w:val="28"/>
        </w:rPr>
        <w:t>7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467E65">
        <w:rPr>
          <w:rFonts w:ascii="Times New Roman" w:eastAsia="Times New Roman" w:hAnsi="Times New Roman" w:cs="Times New Roman"/>
          <w:sz w:val="28"/>
        </w:rPr>
        <w:t>37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на 201</w:t>
      </w:r>
      <w:r w:rsidR="00467E65">
        <w:rPr>
          <w:rFonts w:ascii="Times New Roman" w:eastAsia="Times New Roman" w:hAnsi="Times New Roman" w:cs="Times New Roman"/>
          <w:sz w:val="28"/>
        </w:rPr>
        <w:t>8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Краснокаменский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lastRenderedPageBreak/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rFonts w:ascii="Times New Roman" w:eastAsia="Times New Roman" w:hAnsi="Times New Roman" w:cs="Times New Roman"/>
          <w:sz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Pr="003E7534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7534">
        <w:rPr>
          <w:rFonts w:ascii="Times New Roman" w:eastAsia="Times New Roman" w:hAnsi="Times New Roman" w:cs="Times New Roman"/>
          <w:b/>
          <w:sz w:val="28"/>
        </w:rPr>
        <w:t xml:space="preserve">9) </w:t>
      </w:r>
      <w:r w:rsidR="003E7534" w:rsidRPr="003E7534">
        <w:rPr>
          <w:rFonts w:ascii="Times New Roman" w:eastAsia="Times New Roman" w:hAnsi="Times New Roman" w:cs="Times New Roman"/>
          <w:b/>
          <w:sz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Pr="003E7534">
        <w:rPr>
          <w:rFonts w:ascii="Times New Roman" w:eastAsia="Times New Roman" w:hAnsi="Times New Roman" w:cs="Times New Roman"/>
          <w:b/>
          <w:sz w:val="28"/>
        </w:rPr>
        <w:t>:</w:t>
      </w:r>
    </w:p>
    <w:p w:rsidR="0014678C" w:rsidRPr="003E7534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E7534">
        <w:rPr>
          <w:rFonts w:ascii="Times New Roman" w:eastAsia="Times New Roman" w:hAnsi="Times New Roman" w:cs="Times New Roman"/>
          <w:sz w:val="28"/>
        </w:rPr>
        <w:t xml:space="preserve">- </w:t>
      </w:r>
      <w:r w:rsidR="003E7534" w:rsidRPr="003E7534">
        <w:rPr>
          <w:rFonts w:ascii="Times New Roman" w:eastAsia="Times New Roman" w:hAnsi="Times New Roman" w:cs="Times New Roman"/>
          <w:sz w:val="28"/>
        </w:rPr>
        <w:t>создание профессиональных аварийно-спасательных служб, профессиональных аварийно-спасательных формирований</w:t>
      </w:r>
      <w:r w:rsidRPr="003E7534">
        <w:rPr>
          <w:rFonts w:ascii="Times New Roman" w:eastAsia="Times New Roman" w:hAnsi="Times New Roman" w:cs="Times New Roman"/>
          <w:sz w:val="28"/>
        </w:rPr>
        <w:t>;</w:t>
      </w:r>
    </w:p>
    <w:p w:rsidR="0014678C" w:rsidRPr="003E7534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E7534">
        <w:rPr>
          <w:rFonts w:ascii="Times New Roman" w:eastAsia="Times New Roman" w:hAnsi="Times New Roman" w:cs="Times New Roman"/>
          <w:sz w:val="28"/>
        </w:rPr>
        <w:t xml:space="preserve">- </w:t>
      </w:r>
      <w:r w:rsidR="003E7534" w:rsidRPr="003E7534">
        <w:rPr>
          <w:rFonts w:ascii="Times New Roman" w:eastAsia="Times New Roman" w:hAnsi="Times New Roman" w:cs="Times New Roman"/>
          <w:sz w:val="28"/>
        </w:rPr>
        <w:t>определение состава и структуры аварийно-спасательных служб и аварийно-спасательных формирований</w:t>
      </w:r>
      <w:r w:rsidRPr="003E7534">
        <w:rPr>
          <w:rFonts w:ascii="Times New Roman" w:eastAsia="Times New Roman" w:hAnsi="Times New Roman" w:cs="Times New Roman"/>
          <w:sz w:val="28"/>
        </w:rPr>
        <w:t>;</w:t>
      </w:r>
    </w:p>
    <w:p w:rsidR="0014678C" w:rsidRPr="003E7534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E7534">
        <w:rPr>
          <w:rFonts w:ascii="Times New Roman" w:eastAsia="Times New Roman" w:hAnsi="Times New Roman" w:cs="Times New Roman"/>
          <w:sz w:val="28"/>
        </w:rPr>
        <w:t xml:space="preserve">- </w:t>
      </w:r>
      <w:r w:rsidR="003E7534" w:rsidRPr="003E7534">
        <w:rPr>
          <w:rFonts w:ascii="Times New Roman" w:eastAsia="Times New Roman" w:hAnsi="Times New Roman" w:cs="Times New Roman"/>
          <w:sz w:val="28"/>
        </w:rPr>
        <w:t>регистрация аварийно-спасательных служб и аварийно-спасательных формирований</w:t>
      </w:r>
      <w:r w:rsidRPr="003E7534">
        <w:rPr>
          <w:rFonts w:ascii="Times New Roman" w:eastAsia="Times New Roman" w:hAnsi="Times New Roman" w:cs="Times New Roman"/>
          <w:sz w:val="28"/>
        </w:rPr>
        <w:t>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E7534">
        <w:rPr>
          <w:rFonts w:ascii="Times New Roman" w:eastAsia="Times New Roman" w:hAnsi="Times New Roman" w:cs="Times New Roman"/>
          <w:sz w:val="28"/>
        </w:rPr>
        <w:t xml:space="preserve">- </w:t>
      </w:r>
      <w:r w:rsidR="003E7534" w:rsidRPr="003E7534">
        <w:rPr>
          <w:rFonts w:ascii="Times New Roman" w:eastAsia="Times New Roman" w:hAnsi="Times New Roman" w:cs="Times New Roman"/>
          <w:sz w:val="28"/>
        </w:rPr>
        <w:t>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</w:t>
      </w:r>
      <w:r w:rsidRPr="003E7534">
        <w:rPr>
          <w:rFonts w:ascii="Times New Roman" w:eastAsia="Times New Roman" w:hAnsi="Times New Roman" w:cs="Times New Roman"/>
          <w:sz w:val="28"/>
        </w:rPr>
        <w:t>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E7534">
        <w:rPr>
          <w:rFonts w:ascii="Times New Roman" w:eastAsia="Times New Roman" w:hAnsi="Times New Roman" w:cs="Times New Roman"/>
          <w:sz w:val="28"/>
        </w:rPr>
        <w:t xml:space="preserve">всемерное содействие </w:t>
      </w:r>
      <w:r w:rsidR="003E7534" w:rsidRPr="003E7534">
        <w:rPr>
          <w:rFonts w:ascii="Times New Roman" w:eastAsia="Times New Roman" w:hAnsi="Times New Roman" w:cs="Times New Roman"/>
          <w:sz w:val="28"/>
        </w:rPr>
        <w:t>аварийно-спасательных службам, аварийно-спасательных формированиям, следующим</w:t>
      </w:r>
      <w:r w:rsidR="003E7534">
        <w:rPr>
          <w:rFonts w:ascii="Times New Roman" w:eastAsia="Times New Roman" w:hAnsi="Times New Roman" w:cs="Times New Roman"/>
          <w:sz w:val="28"/>
        </w:rPr>
        <w:t xml:space="preserve"> в зоны чрезвычайных ситуаций и </w:t>
      </w:r>
      <w:r w:rsidR="003E7534">
        <w:rPr>
          <w:rFonts w:ascii="Times New Roman" w:eastAsia="Times New Roman" w:hAnsi="Times New Roman" w:cs="Times New Roman"/>
          <w:sz w:val="28"/>
        </w:rPr>
        <w:lastRenderedPageBreak/>
        <w:t>проводящим работ по ликвидации чрезвычайных ситуаций, в том числе предоставление им необходимых транспортных и материальных средств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4678C" w:rsidRDefault="003E7534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2B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678C">
        <w:rPr>
          <w:rFonts w:ascii="Times New Roman" w:eastAsia="Times New Roman" w:hAnsi="Times New Roman" w:cs="Times New Roman"/>
          <w:b/>
          <w:sz w:val="28"/>
        </w:rPr>
        <w:t>1</w:t>
      </w:r>
      <w:r w:rsidR="00A22BF8">
        <w:rPr>
          <w:rFonts w:ascii="Times New Roman" w:eastAsia="Times New Roman" w:hAnsi="Times New Roman" w:cs="Times New Roman"/>
          <w:b/>
          <w:sz w:val="28"/>
        </w:rPr>
        <w:t>0</w:t>
      </w:r>
      <w:r w:rsidR="0014678C">
        <w:rPr>
          <w:rFonts w:ascii="Times New Roman" w:eastAsia="Times New Roman" w:hAnsi="Times New Roman" w:cs="Times New Roman"/>
          <w:b/>
          <w:sz w:val="28"/>
        </w:rPr>
        <w:t>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A22BF8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14678C">
        <w:rPr>
          <w:rFonts w:ascii="Times New Roman" w:eastAsia="Times New Roman" w:hAnsi="Times New Roman" w:cs="Times New Roman"/>
          <w:b/>
          <w:sz w:val="28"/>
        </w:rPr>
        <w:t xml:space="preserve">) осуществление в пределах, установленных водным </w:t>
      </w:r>
      <w:hyperlink r:id="rId6">
        <w:r w:rsidR="0014678C" w:rsidRPr="00A22BF8">
          <w:rPr>
            <w:rFonts w:ascii="Times New Roman" w:eastAsia="Times New Roman" w:hAnsi="Times New Roman" w:cs="Times New Roman"/>
            <w:b/>
            <w:sz w:val="28"/>
            <w:u w:val="single"/>
          </w:rPr>
          <w:t>законодательством</w:t>
        </w:r>
      </w:hyperlink>
      <w:r w:rsidR="0014678C"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678C"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A22BF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в бюджет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C61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C613BD">
        <w:rPr>
          <w:rFonts w:ascii="Times New Roman" w:eastAsia="Times New Roman" w:hAnsi="Times New Roman" w:cs="Times New Roman"/>
          <w:sz w:val="28"/>
        </w:rPr>
        <w:t xml:space="preserve"> = 284,1 (двести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в пределах принятых бюджетом сельского поселения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бюджет 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Учет иных бюджетных трансфертов, предоставляемых из бюджета муниципального района на реализацию передаваемых полномочий в бюджет </w:t>
      </w:r>
      <w:r>
        <w:rPr>
          <w:rFonts w:ascii="Times New Roman" w:eastAsia="Times New Roman" w:hAnsi="Times New Roman" w:cs="Times New Roman"/>
          <w:sz w:val="28"/>
        </w:rPr>
        <w:lastRenderedPageBreak/>
        <w:t>сельского поселения</w:t>
      </w:r>
      <w:r w:rsidR="00F37E94">
        <w:rPr>
          <w:rFonts w:ascii="Times New Roman" w:eastAsia="Times New Roman" w:hAnsi="Times New Roman" w:cs="Times New Roman"/>
          <w:sz w:val="28"/>
        </w:rPr>
        <w:t xml:space="preserve"> </w:t>
      </w:r>
      <w:r w:rsidR="00F37E94" w:rsidRPr="002946F0">
        <w:rPr>
          <w:rFonts w:ascii="Times New Roman" w:hAnsi="Times New Roman" w:cs="Times New Roman"/>
          <w:sz w:val="28"/>
          <w:szCs w:val="28"/>
        </w:rPr>
        <w:t>«</w:t>
      </w:r>
      <w:r w:rsidR="00F37E9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F37E94" w:rsidRPr="002946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C613BD">
        <w:rPr>
          <w:rFonts w:ascii="Times New Roman" w:eastAsia="Times New Roman" w:hAnsi="Times New Roman" w:cs="Times New Roman"/>
          <w:sz w:val="28"/>
        </w:rPr>
        <w:t>ского поселения в сумме 89,4 тыс. руб.</w:t>
      </w:r>
      <w:proofErr w:type="gramEnd"/>
    </w:p>
    <w:tbl>
      <w:tblPr>
        <w:tblW w:w="93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34"/>
        <w:gridCol w:w="3965"/>
        <w:gridCol w:w="4957"/>
      </w:tblGrid>
      <w:tr w:rsidR="00C613BD" w:rsidRPr="00A4137B" w:rsidTr="00C613BD">
        <w:trPr>
          <w:trHeight w:val="68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0423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50423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504239">
              <w:rPr>
                <w:rFonts w:ascii="Times New Roman" w:hAnsi="Times New Roman" w:cs="Times New Roman"/>
                <w:sz w:val="24"/>
              </w:rPr>
              <w:t>Индивидуализирующие характеристики</w:t>
            </w:r>
          </w:p>
        </w:tc>
      </w:tr>
      <w:tr w:rsidR="00C613BD" w:rsidRPr="00A4137B" w:rsidTr="00C613BD">
        <w:trPr>
          <w:trHeight w:val="119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 18/а)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2161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Скважина 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есенняя 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 2162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ЗИЛ ММЗ 554М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504239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1380015,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знак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844ВТ 75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УАЗ-220694-04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1380016;  двигатель  № 80600938; шасси № 37410080472817; кузов 22060080212160; год изготовления – 2008;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гос.знак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378 НУ 75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Боевая одежда пожарных (2 комплекта)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1380019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Борона зубовая АЛМАЗ БЗТ-1,0,00,000-02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Ветродуйки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тушения пожара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000000000000040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сирена С-40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9E278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Пожарное ДЭПО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Отвал на заднюю навеску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1380032 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Плуг трехкорпусной навесной Алмаз ПЛН 3-35 РЗЗ, 136,00,000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1380026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коммунальный ПКУ 0,8 М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ПКУ 0,8 КУН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000000000000042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 тракторный самосвальный ПТС-4,5 с наставными металлическими бортами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 ЕО 8665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Прицепной комплекс для пожаротушения «Водолей» ПКП-4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1380033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МТЗ-80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Белорус 82.1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Инвентарный № 1380030,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75ЕО 8666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Трансформатор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000000000000037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 комнатная</w:t>
            </w:r>
          </w:p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троителей, д.7, кВ.1)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Pr="00E908C7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0101002; год ввода -1995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2-хкомнатная</w:t>
            </w:r>
          </w:p>
          <w:p w:rsidR="00C613BD" w:rsidRPr="008A4088" w:rsidRDefault="00C613BD" w:rsidP="00E15BE5">
            <w:pPr>
              <w:pStyle w:val="a5"/>
              <w:jc w:val="left"/>
              <w:rPr>
                <w:sz w:val="24"/>
              </w:rPr>
            </w:pPr>
            <w:r w:rsidRPr="008A4088">
              <w:rPr>
                <w:sz w:val="24"/>
              </w:rPr>
              <w:lastRenderedPageBreak/>
              <w:t>(</w:t>
            </w:r>
            <w:r w:rsidRPr="008A4088">
              <w:rPr>
                <w:sz w:val="24"/>
                <w:szCs w:val="24"/>
              </w:rPr>
              <w:t>ул</w:t>
            </w:r>
            <w:proofErr w:type="gramStart"/>
            <w:r w:rsidRPr="008A4088">
              <w:rPr>
                <w:sz w:val="24"/>
                <w:szCs w:val="24"/>
              </w:rPr>
              <w:t>.Д</w:t>
            </w:r>
            <w:proofErr w:type="gramEnd"/>
            <w:r w:rsidRPr="008A4088">
              <w:rPr>
                <w:sz w:val="24"/>
                <w:szCs w:val="24"/>
              </w:rPr>
              <w:t>ружбы, д.17, кв.2)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Инвентарный № 01010003; год ввода -1969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Насос НШН-600У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000000000000020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фонд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Инвентарный № 000000000000001</w:t>
            </w:r>
          </w:p>
        </w:tc>
      </w:tr>
      <w:tr w:rsidR="00C613BD" w:rsidRPr="00A4137B" w:rsidTr="00C613BD">
        <w:trPr>
          <w:trHeight w:val="29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Кладбище</w:t>
            </w:r>
          </w:p>
        </w:tc>
        <w:tc>
          <w:tcPr>
            <w:tcW w:w="49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3BD" w:rsidRDefault="00C613BD" w:rsidP="00E15BE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3BD" w:rsidRDefault="00C613BD" w:rsidP="00C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BD" w:rsidRDefault="00C613BD" w:rsidP="00C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Краснокаменский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DB7AF5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сельского поселения вытекающих из настоящего Соглашения обязательств по финансированию </w:t>
      </w:r>
    </w:p>
    <w:p w:rsidR="00DB7AF5" w:rsidRDefault="00DB7AF5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29466" cy="8160775"/>
            <wp:effectExtent l="19050" t="0" r="0" b="0"/>
            <wp:docPr id="1" name="Рисунок 1" descr="C:\Users\user\Pictures\2018-01-17 соглашение\согла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17 соглашение\соглаш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AF5" w:rsidSect="005145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14678C"/>
    <w:rsid w:val="002725C5"/>
    <w:rsid w:val="003E7534"/>
    <w:rsid w:val="00467E65"/>
    <w:rsid w:val="00514537"/>
    <w:rsid w:val="006D524A"/>
    <w:rsid w:val="00862045"/>
    <w:rsid w:val="00A22BF8"/>
    <w:rsid w:val="00B32459"/>
    <w:rsid w:val="00C613BD"/>
    <w:rsid w:val="00D63E42"/>
    <w:rsid w:val="00DB7AF5"/>
    <w:rsid w:val="00DE4129"/>
    <w:rsid w:val="00E06C5D"/>
    <w:rsid w:val="00F3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3BD"/>
    <w:pPr>
      <w:spacing w:after="0" w:line="240" w:lineRule="auto"/>
    </w:pPr>
  </w:style>
  <w:style w:type="table" w:styleId="a4">
    <w:name w:val="Table Grid"/>
    <w:basedOn w:val="a1"/>
    <w:uiPriority w:val="59"/>
    <w:rsid w:val="00C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1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1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C613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9</cp:revision>
  <dcterms:created xsi:type="dcterms:W3CDTF">2016-12-24T04:42:00Z</dcterms:created>
  <dcterms:modified xsi:type="dcterms:W3CDTF">2018-01-17T07:43:00Z</dcterms:modified>
</cp:coreProperties>
</file>